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49.0" w:type="dxa"/>
        <w:jc w:val="left"/>
        <w:tblInd w:w="-731.0" w:type="dxa"/>
        <w:tblLayout w:type="fixed"/>
        <w:tblLook w:val="0000"/>
      </w:tblPr>
      <w:tblGrid>
        <w:gridCol w:w="1812"/>
        <w:gridCol w:w="9237"/>
        <w:tblGridChange w:id="0">
          <w:tblGrid>
            <w:gridCol w:w="1812"/>
            <w:gridCol w:w="9237"/>
          </w:tblGrid>
        </w:tblGridChange>
      </w:tblGrid>
      <w:tr>
        <w:trPr>
          <w:cantSplit w:val="0"/>
          <w:tblHeader w:val="0"/>
        </w:trPr>
        <w:tc>
          <w:tcPr>
            <w:vMerge w:val="restart"/>
            <w:shd w:fill="auto" w:val="clea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-16509</wp:posOffset>
                  </wp:positionH>
                  <wp:positionV relativeFrom="paragraph">
                    <wp:posOffset>87630</wp:posOffset>
                  </wp:positionV>
                  <wp:extent cx="1114425" cy="76898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14425" cy="768985"/>
                          </a:xfrm>
                          <a:prstGeom prst="rect"/>
                          <a:ln/>
                        </pic:spPr>
                      </pic:pic>
                    </a:graphicData>
                  </a:graphic>
                </wp:anchor>
              </w:drawing>
            </w:r>
          </w:p>
        </w:tc>
        <w:tc>
          <w:tcPr>
            <w:tcBorders>
              <w:bottom w:color="3465a4" w:space="0" w:sz="12" w:val="single"/>
            </w:tcBorders>
            <w:shd w:fill="auto" w:val="clear"/>
          </w:tcPr>
          <w:p w:rsidR="00000000" w:rsidDel="00000000" w:rsidP="00000000" w:rsidRDefault="00000000" w:rsidRPr="00000000" w14:paraId="00000003">
            <w:pPr>
              <w:pStyle w:val="Title"/>
              <w:spacing w:after="120" w:before="240" w:lineRule="auto"/>
              <w:rPr>
                <w:sz w:val="48"/>
                <w:szCs w:val="48"/>
              </w:rPr>
            </w:pPr>
            <w:r w:rsidDel="00000000" w:rsidR="00000000" w:rsidRPr="00000000">
              <w:rPr>
                <w:sz w:val="48"/>
                <w:szCs w:val="48"/>
                <w:rtl w:val="0"/>
              </w:rPr>
              <w:t xml:space="preserve">Información al alumnado y sus familias</w:t>
            </w:r>
          </w:p>
        </w:tc>
      </w:tr>
      <w:tr>
        <w:trPr>
          <w:cantSplit w:val="0"/>
          <w:tblHeader w:val="0"/>
        </w:trPr>
        <w:tc>
          <w:tcPr>
            <w:vMerge w:val="continue"/>
            <w:shd w:fill="auto" w:val="cle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48"/>
                <w:szCs w:val="48"/>
              </w:rPr>
            </w:pPr>
            <w:r w:rsidDel="00000000" w:rsidR="00000000" w:rsidRPr="00000000">
              <w:rPr>
                <w:rtl w:val="0"/>
              </w:rPr>
            </w:r>
          </w:p>
        </w:tc>
        <w:tc>
          <w:tcPr>
            <w:shd w:fill="auto" w:val="clea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center"/>
              <w:rPr>
                <w:rFonts w:ascii="Linux Biolinum G" w:cs="Linux Biolinum G" w:eastAsia="Linux Biolinum G" w:hAnsi="Linux Biolinum G"/>
                <w:b w:val="0"/>
                <w:i w:val="0"/>
                <w:smallCaps w:val="0"/>
                <w:strike w:val="0"/>
                <w:color w:val="000000"/>
                <w:sz w:val="44"/>
                <w:szCs w:val="44"/>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000000"/>
                <w:sz w:val="44"/>
                <w:szCs w:val="44"/>
                <w:u w:val="none"/>
                <w:shd w:fill="auto" w:val="clear"/>
                <w:vertAlign w:val="baseline"/>
                <w:rtl w:val="0"/>
              </w:rPr>
              <w:t xml:space="preserve">Curso 202</w:t>
            </w:r>
            <w:r w:rsidDel="00000000" w:rsidR="00000000" w:rsidRPr="00000000">
              <w:rPr>
                <w:sz w:val="44"/>
                <w:szCs w:val="44"/>
                <w:rtl w:val="0"/>
              </w:rPr>
              <w:t xml:space="preserve">5</w:t>
            </w:r>
            <w:r w:rsidDel="00000000" w:rsidR="00000000" w:rsidRPr="00000000">
              <w:rPr>
                <w:rFonts w:ascii="Linux Biolinum G" w:cs="Linux Biolinum G" w:eastAsia="Linux Biolinum G" w:hAnsi="Linux Biolinum G"/>
                <w:b w:val="0"/>
                <w:i w:val="0"/>
                <w:smallCaps w:val="0"/>
                <w:strike w:val="0"/>
                <w:color w:val="000000"/>
                <w:sz w:val="44"/>
                <w:szCs w:val="44"/>
                <w:u w:val="none"/>
                <w:shd w:fill="auto" w:val="clear"/>
                <w:vertAlign w:val="baseline"/>
                <w:rtl w:val="0"/>
              </w:rPr>
              <w:t xml:space="preserve">/2</w:t>
            </w:r>
            <w:r w:rsidDel="00000000" w:rsidR="00000000" w:rsidRPr="00000000">
              <w:rPr>
                <w:sz w:val="44"/>
                <w:szCs w:val="44"/>
                <w:rtl w:val="0"/>
              </w:rPr>
              <w:t xml:space="preserve">6</w:t>
            </w:r>
            <w:r w:rsidDel="00000000" w:rsidR="00000000" w:rsidRPr="00000000">
              <w:rPr>
                <w:rtl w:val="0"/>
              </w:rPr>
            </w:r>
          </w:p>
        </w:tc>
      </w:tr>
    </w:tbl>
    <w:p w:rsidR="00000000" w:rsidDel="00000000" w:rsidP="00000000" w:rsidRDefault="00000000" w:rsidRPr="00000000" w14:paraId="00000006">
      <w:pPr>
        <w:pStyle w:val="Title"/>
        <w:rPr>
          <w:rFonts w:ascii="Liberation Sans" w:cs="Liberation Sans" w:eastAsia="Liberation Sans" w:hAnsi="Liberation Sans"/>
          <w:b w:val="1"/>
          <w:color w:val="213c70"/>
          <w:sz w:val="32"/>
          <w:szCs w:val="32"/>
        </w:rPr>
      </w:pPr>
      <w:r w:rsidDel="00000000" w:rsidR="00000000" w:rsidRPr="00000000">
        <w:rPr>
          <w:rtl w:val="0"/>
        </w:rPr>
      </w:r>
    </w:p>
    <w:tbl>
      <w:tblPr>
        <w:tblStyle w:val="Table2"/>
        <w:tblW w:w="9638.0" w:type="dxa"/>
        <w:jc w:val="left"/>
        <w:tblInd w:w="-105.0" w:type="dxa"/>
        <w:tblBorders>
          <w:top w:color="213c70" w:space="0" w:sz="6" w:val="single"/>
          <w:left w:color="213c70" w:space="0" w:sz="6" w:val="single"/>
          <w:bottom w:color="213c70" w:space="0" w:sz="4" w:val="single"/>
          <w:insideH w:color="213c70" w:space="0" w:sz="4" w:val="single"/>
        </w:tblBorders>
        <w:tblLayout w:type="fixed"/>
        <w:tblLook w:val="0000"/>
      </w:tblPr>
      <w:tblGrid>
        <w:gridCol w:w="3237"/>
        <w:gridCol w:w="6401"/>
        <w:tblGridChange w:id="0">
          <w:tblGrid>
            <w:gridCol w:w="3237"/>
            <w:gridCol w:w="6401"/>
          </w:tblGrid>
        </w:tblGridChange>
      </w:tblGrid>
      <w:tr>
        <w:trPr>
          <w:cantSplit w:val="0"/>
          <w:tblHeader w:val="0"/>
        </w:trPr>
        <w:tc>
          <w:tcPr>
            <w:tcBorders>
              <w:top w:color="213c70" w:space="0" w:sz="6" w:val="single"/>
              <w:left w:color="213c70" w:space="0" w:sz="6" w:val="single"/>
              <w:bottom w:color="213c70" w:space="0" w:sz="4" w:val="single"/>
            </w:tcBorders>
            <w:shd w:fill="dee2eb" w:val="cle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Departamento:</w:t>
            </w:r>
          </w:p>
        </w:tc>
        <w:tc>
          <w:tcPr>
            <w:tcBorders>
              <w:top w:color="213c70" w:space="0" w:sz="6" w:val="single"/>
              <w:left w:color="213c70" w:space="0" w:sz="4" w:val="single"/>
              <w:bottom w:color="213c70" w:space="0" w:sz="4" w:val="single"/>
              <w:right w:color="213c70" w:space="0" w:sz="6" w:val="single"/>
            </w:tcBorders>
            <w:shd w:fill="ffffff" w:val="cle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000000"/>
                <w:sz w:val="36"/>
                <w:szCs w:val="36"/>
                <w:u w:val="none"/>
                <w:shd w:fill="auto" w:val="clear"/>
                <w:vertAlign w:val="baseline"/>
              </w:rPr>
            </w:pPr>
            <w:r w:rsidDel="00000000" w:rsidR="00000000" w:rsidRPr="00000000">
              <w:rPr>
                <w:sz w:val="36"/>
                <w:szCs w:val="36"/>
                <w:rtl w:val="0"/>
              </w:rPr>
              <w:t xml:space="preserve">Física y Química</w:t>
            </w:r>
            <w:r w:rsidDel="00000000" w:rsidR="00000000" w:rsidRPr="00000000">
              <w:rPr>
                <w:rtl w:val="0"/>
              </w:rPr>
            </w:r>
          </w:p>
        </w:tc>
      </w:tr>
      <w:tr>
        <w:trPr>
          <w:cantSplit w:val="0"/>
          <w:tblHeader w:val="0"/>
        </w:trPr>
        <w:tc>
          <w:tcPr>
            <w:tcBorders>
              <w:left w:color="213c70" w:space="0" w:sz="6" w:val="single"/>
              <w:bottom w:color="213c70" w:space="0" w:sz="4" w:val="single"/>
            </w:tcBorders>
            <w:shd w:fill="dee2eb" w:val="cle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Materia o ámbito:</w:t>
            </w:r>
          </w:p>
        </w:tc>
        <w:tc>
          <w:tcPr>
            <w:tcBorders>
              <w:left w:color="213c70" w:space="0" w:sz="4" w:val="single"/>
              <w:bottom w:color="213c70" w:space="0" w:sz="4" w:val="single"/>
              <w:right w:color="213c70" w:space="0" w:sz="6" w:val="single"/>
            </w:tcBorders>
            <w:shd w:fill="ffffff" w:val="clea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000000"/>
                <w:sz w:val="36"/>
                <w:szCs w:val="36"/>
                <w:u w:val="none"/>
                <w:shd w:fill="auto" w:val="clear"/>
                <w:vertAlign w:val="baseline"/>
              </w:rPr>
            </w:pPr>
            <w:r w:rsidDel="00000000" w:rsidR="00000000" w:rsidRPr="00000000">
              <w:rPr>
                <w:sz w:val="36"/>
                <w:szCs w:val="36"/>
                <w:rtl w:val="0"/>
              </w:rPr>
              <w:t xml:space="preserve">Física y Química</w:t>
            </w:r>
            <w:r w:rsidDel="00000000" w:rsidR="00000000" w:rsidRPr="00000000">
              <w:rPr>
                <w:rtl w:val="0"/>
              </w:rPr>
            </w:r>
          </w:p>
        </w:tc>
      </w:tr>
      <w:tr>
        <w:trPr>
          <w:cantSplit w:val="0"/>
          <w:tblHeader w:val="0"/>
        </w:trPr>
        <w:tc>
          <w:tcPr>
            <w:tcBorders>
              <w:left w:color="213c70" w:space="0" w:sz="6" w:val="single"/>
              <w:bottom w:color="213c70" w:space="0" w:sz="6" w:val="single"/>
            </w:tcBorders>
            <w:shd w:fill="dee2eb" w:val="clea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Curso:</w:t>
            </w:r>
          </w:p>
        </w:tc>
        <w:tc>
          <w:tcPr>
            <w:tcBorders>
              <w:left w:color="213c70" w:space="0" w:sz="4" w:val="single"/>
              <w:bottom w:color="213c70" w:space="0" w:sz="6" w:val="single"/>
              <w:right w:color="213c70" w:space="0" w:sz="6" w:val="single"/>
            </w:tcBorders>
            <w:shd w:fill="auto" w:val="cle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000000"/>
                <w:sz w:val="36"/>
                <w:szCs w:val="36"/>
                <w:u w:val="none"/>
                <w:shd w:fill="auto" w:val="clear"/>
                <w:vertAlign w:val="baseline"/>
              </w:rPr>
            </w:pPr>
            <w:r w:rsidDel="00000000" w:rsidR="00000000" w:rsidRPr="00000000">
              <w:rPr>
                <w:sz w:val="36"/>
                <w:szCs w:val="36"/>
                <w:rtl w:val="0"/>
              </w:rPr>
              <w:t xml:space="preserve">1</w:t>
            </w:r>
            <w:r w:rsidDel="00000000" w:rsidR="00000000" w:rsidRPr="00000000">
              <w:rPr>
                <w:rFonts w:ascii="Linux Biolinum G" w:cs="Linux Biolinum G" w:eastAsia="Linux Biolinum G" w:hAnsi="Linux Biolinum G"/>
                <w:b w:val="0"/>
                <w:i w:val="0"/>
                <w:smallCaps w:val="0"/>
                <w:strike w:val="0"/>
                <w:color w:val="000000"/>
                <w:sz w:val="36"/>
                <w:szCs w:val="36"/>
                <w:u w:val="none"/>
                <w:shd w:fill="auto" w:val="clear"/>
                <w:vertAlign w:val="baseline"/>
                <w:rtl w:val="0"/>
              </w:rPr>
              <w:t xml:space="preserve">º </w:t>
            </w:r>
            <w:r w:rsidDel="00000000" w:rsidR="00000000" w:rsidRPr="00000000">
              <w:rPr>
                <w:sz w:val="36"/>
                <w:szCs w:val="36"/>
                <w:rtl w:val="0"/>
              </w:rPr>
              <w:t xml:space="preserve">BTO</w:t>
            </w:r>
            <w:r w:rsidDel="00000000" w:rsidR="00000000" w:rsidRPr="00000000">
              <w:rPr>
                <w:rtl w:val="0"/>
              </w:rPr>
            </w:r>
          </w:p>
        </w:tc>
      </w:tr>
    </w:tbl>
    <w:p w:rsidR="00000000" w:rsidDel="00000000" w:rsidP="00000000" w:rsidRDefault="00000000" w:rsidRPr="00000000" w14:paraId="0000000D">
      <w:pPr>
        <w:rPr>
          <w:rFonts w:ascii="Liberation Sans" w:cs="Liberation Sans" w:eastAsia="Liberation Sans" w:hAnsi="Liberation Sans"/>
          <w:b w:val="1"/>
          <w:color w:val="213c70"/>
          <w:sz w:val="32"/>
          <w:szCs w:val="32"/>
        </w:rPr>
      </w:pPr>
      <w:r w:rsidDel="00000000" w:rsidR="00000000" w:rsidRPr="00000000">
        <w:rPr>
          <w:rtl w:val="0"/>
        </w:rPr>
      </w:r>
    </w:p>
    <w:tbl>
      <w:tblPr>
        <w:tblStyle w:val="Table3"/>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Procedimientos e instrumentos de evaluación</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0F">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rtl w:val="0"/>
              </w:rPr>
              <w:t xml:space="preserve">Pruebas escritas (exámenes).</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0">
            <w:pPr>
              <w:spacing w:after="57" w:before="57" w:lineRule="auto"/>
              <w:jc w:val="both"/>
              <w:rPr/>
            </w:pPr>
            <w:r w:rsidDel="00000000" w:rsidR="00000000" w:rsidRPr="00000000">
              <w:rPr>
                <w:rtl w:val="0"/>
              </w:rPr>
              <w:t xml:space="preserve">Informes de laboratorio.</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1">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rtl w:val="0"/>
              </w:rPr>
              <w:t xml:space="preserve">Pruebas escritas (con apuntes).</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2">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rtl w:val="0"/>
              </w:rPr>
              <w:t xml:space="preserve">Revisión del trabajo diario del alumnado.</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3">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4">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rtl w:val="0"/>
              </w:rPr>
            </w:r>
          </w:p>
        </w:tc>
      </w:tr>
      <w:tr>
        <w:trPr>
          <w:cantSplit w:val="0"/>
          <w:tblHeader w:val="0"/>
        </w:trPr>
        <w:tc>
          <w:tcPr>
            <w:tcBorders>
              <w:left w:color="213c70" w:space="0" w:sz="6" w:val="single"/>
              <w:bottom w:color="213c70" w:space="0" w:sz="6" w:val="single"/>
              <w:right w:color="213c70" w:space="0" w:sz="6" w:val="single"/>
            </w:tcBorders>
            <w:shd w:fill="auto" w:val="clear"/>
          </w:tcPr>
          <w:p w:rsidR="00000000" w:rsidDel="00000000" w:rsidP="00000000" w:rsidRDefault="00000000" w:rsidRPr="00000000" w14:paraId="00000015">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rtl w:val="0"/>
              </w:rPr>
            </w:r>
          </w:p>
        </w:tc>
      </w:tr>
    </w:tbl>
    <w:p w:rsidR="00000000" w:rsidDel="00000000" w:rsidP="00000000" w:rsidRDefault="00000000" w:rsidRPr="00000000" w14:paraId="00000016">
      <w:pPr>
        <w:rPr>
          <w:rFonts w:ascii="Liberation Sans" w:cs="Liberation Sans" w:eastAsia="Liberation Sans" w:hAnsi="Liberation Sans"/>
          <w:b w:val="1"/>
          <w:color w:val="213c70"/>
          <w:sz w:val="32"/>
          <w:szCs w:val="32"/>
        </w:rPr>
      </w:pPr>
      <w:r w:rsidDel="00000000" w:rsidR="00000000" w:rsidRPr="00000000">
        <w:rPr>
          <w:rtl w:val="0"/>
        </w:rPr>
      </w:r>
    </w:p>
    <w:tbl>
      <w:tblPr>
        <w:tblStyle w:val="Table4"/>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Criterios de evaluación</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8">
            <w:pPr>
              <w:spacing w:after="160" w:before="240" w:lineRule="auto"/>
              <w:rPr>
                <w:rFonts w:ascii="Arial" w:cs="Arial" w:eastAsia="Arial" w:hAnsi="Arial"/>
              </w:rPr>
            </w:pPr>
            <w:r w:rsidDel="00000000" w:rsidR="00000000" w:rsidRPr="00000000">
              <w:rPr>
                <w:rFonts w:ascii="Arial" w:cs="Arial" w:eastAsia="Arial" w:hAnsi="Arial"/>
                <w:rtl w:val="0"/>
              </w:rPr>
              <w:t xml:space="preserve">1.1. Aplicar las leyes y teorías científicas en el análisis de fenómenos fisicoquímicos cotidianos, comprendiendo las causas que los producen y explicándolas utilizando diversidad de soportes y medios de comunicación. </w:t>
            </w:r>
          </w:p>
          <w:p w:rsidR="00000000" w:rsidDel="00000000" w:rsidP="00000000" w:rsidRDefault="00000000" w:rsidRPr="00000000" w14:paraId="00000019">
            <w:pPr>
              <w:spacing w:after="160" w:before="240" w:lineRule="auto"/>
              <w:rPr>
                <w:rFonts w:ascii="Arial" w:cs="Arial" w:eastAsia="Arial" w:hAnsi="Arial"/>
              </w:rPr>
            </w:pPr>
            <w:r w:rsidDel="00000000" w:rsidR="00000000" w:rsidRPr="00000000">
              <w:rPr>
                <w:rFonts w:ascii="Arial" w:cs="Arial" w:eastAsia="Arial" w:hAnsi="Arial"/>
                <w:rtl w:val="0"/>
              </w:rPr>
              <w:t xml:space="preserve">1.2. Resolver problemas fisicoquímicos planteados a partir de situaciones cotidianas, aplicando las leyes y teorías científicas para encontrar y argumentar las soluciones, expresando adecuadamente los resultados.</w:t>
            </w:r>
          </w:p>
          <w:p w:rsidR="00000000" w:rsidDel="00000000" w:rsidP="00000000" w:rsidRDefault="00000000" w:rsidRPr="00000000" w14:paraId="0000001A">
            <w:pPr>
              <w:spacing w:after="57" w:before="57" w:lineRule="auto"/>
              <w:jc w:val="both"/>
              <w:rPr/>
            </w:pPr>
            <w:r w:rsidDel="00000000" w:rsidR="00000000" w:rsidRPr="00000000">
              <w:rPr>
                <w:rFonts w:ascii="Arial" w:cs="Arial" w:eastAsia="Arial" w:hAnsi="Arial"/>
                <w:rtl w:val="0"/>
              </w:rPr>
              <w:t xml:space="preserve">1.3. Identificar situaciones problemáticas en el entorno cotidiano, emprender iniciativas y buscar soluciones sostenibles desde la Física y la Química, analizando críticamente el impacto producido en la sociedad y el medioambiente.</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B">
            <w:pPr>
              <w:spacing w:after="160" w:before="240" w:lineRule="auto"/>
              <w:rPr>
                <w:rFonts w:ascii="Arial" w:cs="Arial" w:eastAsia="Arial" w:hAnsi="Arial"/>
              </w:rPr>
            </w:pPr>
            <w:r w:rsidDel="00000000" w:rsidR="00000000" w:rsidRPr="00000000">
              <w:rPr>
                <w:rFonts w:ascii="Arial" w:cs="Arial" w:eastAsia="Arial" w:hAnsi="Arial"/>
                <w:rtl w:val="0"/>
              </w:rPr>
              <w:t xml:space="preserve">2.1. Formular y verificar hipótesis como respuestas a diferentes problemas y observaciones, manejando con soltura el trabajo experimental, la indagación, la búsqueda de evidencias y el razonamiento lógico-matemático.</w:t>
            </w:r>
          </w:p>
          <w:p w:rsidR="00000000" w:rsidDel="00000000" w:rsidP="00000000" w:rsidRDefault="00000000" w:rsidRPr="00000000" w14:paraId="0000001C">
            <w:pPr>
              <w:spacing w:after="160" w:before="240" w:lineRule="auto"/>
              <w:rPr>
                <w:rFonts w:ascii="Arial" w:cs="Arial" w:eastAsia="Arial" w:hAnsi="Arial"/>
              </w:rPr>
            </w:pPr>
            <w:r w:rsidDel="00000000" w:rsidR="00000000" w:rsidRPr="00000000">
              <w:rPr>
                <w:rFonts w:ascii="Arial" w:cs="Arial" w:eastAsia="Arial" w:hAnsi="Arial"/>
                <w:rtl w:val="0"/>
              </w:rPr>
              <w:t xml:space="preserve">2.2. Utilizar diferentes métodos para encontrar la respuesta a una sola cuestión u observación, cotejando los resultados obtenidos por diferentes métodos, asegurándose así de su coherencia y fiabilidad.</w:t>
            </w:r>
          </w:p>
          <w:p w:rsidR="00000000" w:rsidDel="00000000" w:rsidP="00000000" w:rsidRDefault="00000000" w:rsidRPr="00000000" w14:paraId="0000001D">
            <w:pPr>
              <w:spacing w:after="57" w:before="57" w:lineRule="auto"/>
              <w:jc w:val="both"/>
              <w:rPr/>
            </w:pPr>
            <w:r w:rsidDel="00000000" w:rsidR="00000000" w:rsidRPr="00000000">
              <w:rPr>
                <w:rFonts w:ascii="Arial" w:cs="Arial" w:eastAsia="Arial" w:hAnsi="Arial"/>
                <w:rtl w:val="0"/>
              </w:rPr>
              <w:t xml:space="preserve">2.3. Integrar las leyes y teorías científicas conocidas en el desarrollo del procedimiento de la validación de las hipótesis formuladas, aplicando relaciones cualitativas y cuantitativas entre las diferentes variables, de manera que el proceso sea más fiable y coherente con el conocimiento científico adquirido</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E">
            <w:pPr>
              <w:spacing w:after="160" w:before="240" w:lineRule="auto"/>
              <w:rPr>
                <w:rFonts w:ascii="Arial" w:cs="Arial" w:eastAsia="Arial" w:hAnsi="Arial"/>
              </w:rPr>
            </w:pPr>
            <w:r w:rsidDel="00000000" w:rsidR="00000000" w:rsidRPr="00000000">
              <w:rPr>
                <w:rFonts w:ascii="Arial" w:cs="Arial" w:eastAsia="Arial" w:hAnsi="Arial"/>
                <w:rtl w:val="0"/>
              </w:rPr>
              <w:t xml:space="preserve">3.1. Utilizar y relacionar de manera rigurosa diferentes sistemas de unidades, empleando correctamente su notación y sus equivalencias, haciendo posible una comunicación efectiva con toda la comunidad científica.</w:t>
            </w:r>
          </w:p>
          <w:p w:rsidR="00000000" w:rsidDel="00000000" w:rsidP="00000000" w:rsidRDefault="00000000" w:rsidRPr="00000000" w14:paraId="0000001F">
            <w:pPr>
              <w:spacing w:after="160" w:before="240" w:lineRule="auto"/>
              <w:rPr>
                <w:rFonts w:ascii="Arial" w:cs="Arial" w:eastAsia="Arial" w:hAnsi="Arial"/>
              </w:rPr>
            </w:pPr>
            <w:r w:rsidDel="00000000" w:rsidR="00000000" w:rsidRPr="00000000">
              <w:rPr>
                <w:rFonts w:ascii="Arial" w:cs="Arial" w:eastAsia="Arial" w:hAnsi="Arial"/>
                <w:rtl w:val="0"/>
              </w:rPr>
              <w:t xml:space="preserve">3.2. Nombrar y formular correctamente sustancias simples, iones y compuestos químicos inorgánicos y orgánicos utilizando las normas de la IUPAC, como parte de un lenguaje integrador y universal para toda la comunidad científica.</w:t>
            </w:r>
          </w:p>
          <w:p w:rsidR="00000000" w:rsidDel="00000000" w:rsidP="00000000" w:rsidRDefault="00000000" w:rsidRPr="00000000" w14:paraId="00000020">
            <w:pPr>
              <w:spacing w:after="57" w:before="57" w:lineRule="auto"/>
              <w:jc w:val="both"/>
              <w:rPr/>
            </w:pPr>
            <w:r w:rsidDel="00000000" w:rsidR="00000000" w:rsidRPr="00000000">
              <w:rPr>
                <w:rFonts w:ascii="Arial" w:cs="Arial" w:eastAsia="Arial" w:hAnsi="Arial"/>
                <w:rtl w:val="0"/>
              </w:rPr>
              <w:t xml:space="preserve">3.3. Emplear diferentes formatos para interpretar y expresar información relativa a un proceso fisicoquímico concreto, relacionando entre sí la información que cada uno de ellos contiene y extrayendo de él lo más relevante durante la resolución de un problema. 3.4. Poner en práctica los conocimientos adquiridos en la experimentación científica en laboratorio o campo, incluyendo el conocimiento de sus materiales y su normativa básica de uso, así como de las normas de seguridad propias de estos espacios, y comprendiendo la importancia en el progreso científico y emprendedor de que la experimentación sea segura, sin comprometer la integridad Física propia y colectiva</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1">
            <w:pPr>
              <w:spacing w:after="160" w:before="240" w:lineRule="auto"/>
              <w:rPr>
                <w:rFonts w:ascii="Arial" w:cs="Arial" w:eastAsia="Arial" w:hAnsi="Arial"/>
              </w:rPr>
            </w:pPr>
            <w:r w:rsidDel="00000000" w:rsidR="00000000" w:rsidRPr="00000000">
              <w:rPr>
                <w:rFonts w:ascii="Arial" w:cs="Arial" w:eastAsia="Arial" w:hAnsi="Arial"/>
                <w:rtl w:val="0"/>
              </w:rPr>
              <w:t xml:space="preserve">4.1. Interactuar con otros miembros de la comunidad educativa a través de diferentes entornos de aprendizaje, reales y virtuales, utilizando de forma autónoma y eficiente recursos variados, tradicionales y digitales, de forma rigurosa y respetuosa y analizando críticamente las aportaciones de todo el mundo.</w:t>
            </w:r>
          </w:p>
          <w:p w:rsidR="00000000" w:rsidDel="00000000" w:rsidP="00000000" w:rsidRDefault="00000000" w:rsidRPr="00000000" w14:paraId="00000022">
            <w:pPr>
              <w:spacing w:after="57" w:before="57" w:lineRule="auto"/>
              <w:jc w:val="both"/>
              <w:rPr/>
            </w:pPr>
            <w:r w:rsidDel="00000000" w:rsidR="00000000" w:rsidRPr="00000000">
              <w:rPr>
                <w:rFonts w:ascii="Arial" w:cs="Arial" w:eastAsia="Arial" w:hAnsi="Arial"/>
                <w:rtl w:val="0"/>
              </w:rPr>
              <w:t xml:space="preserve">4.2. Trabajar de forma autónoma y versátil, individualmente y en grupo, en la consulta de información y la creación de contenidos, utilizando con criterio las fuentes y herramientas más fiables, y desechando las menos adecuadas, mejorando así el aprendizaje propio y colectivo</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3">
            <w:pPr>
              <w:spacing w:after="57" w:before="57" w:lineRule="auto"/>
              <w:jc w:val="both"/>
              <w:rPr>
                <w:rFonts w:ascii="Arial" w:cs="Arial" w:eastAsia="Arial" w:hAnsi="Arial"/>
              </w:rPr>
            </w:pPr>
            <w:r w:rsidDel="00000000" w:rsidR="00000000" w:rsidRPr="00000000">
              <w:rPr>
                <w:b w:val="0"/>
                <w:i w:val="0"/>
                <w:strike w:val="0"/>
                <w:color w:val="000000"/>
                <w:sz w:val="24"/>
                <w:szCs w:val="24"/>
                <w:u w:val="none"/>
                <w:rtl w:val="0"/>
              </w:rPr>
              <w:t xml:space="preserve">.</w:t>
            </w:r>
            <w:r w:rsidDel="00000000" w:rsidR="00000000" w:rsidRPr="00000000">
              <w:rPr>
                <w:rFonts w:ascii="Arial" w:cs="Arial" w:eastAsia="Arial" w:hAnsi="Arial"/>
                <w:rtl w:val="0"/>
              </w:rPr>
              <w:t xml:space="preserve">5.1. Participar de manera activa en la construcción del conocimiento científico, evidenciando la presencia de la interacción, la cooperación y la evaluación entre iguales, mejorando la capacidad de cuestionamiento, la reflexión y el debate al alcanzar el consenso en la resolución de un problema o situación de aprendizaje. 5.2. Construir y producir conocimientos a través del trabajo colectivo, además de explorar alternativas para superar la asimilación de conocimientos ya elaborados y encontrando momentos para el análisis, la discusión y la síntesis, obteniendo como resultado la elaboración de productos representados en informes, pósteres, presentaciones, artículos, etc.</w:t>
            </w:r>
          </w:p>
          <w:p w:rsidR="00000000" w:rsidDel="00000000" w:rsidP="00000000" w:rsidRDefault="00000000" w:rsidRPr="00000000" w14:paraId="00000024">
            <w:pPr>
              <w:spacing w:after="57" w:before="57" w:lineRule="auto"/>
              <w:jc w:val="both"/>
              <w:rPr/>
            </w:pPr>
            <w:r w:rsidDel="00000000" w:rsidR="00000000" w:rsidRPr="00000000">
              <w:rPr>
                <w:rFonts w:ascii="Arial" w:cs="Arial" w:eastAsia="Arial" w:hAnsi="Arial"/>
                <w:rtl w:val="0"/>
              </w:rPr>
              <w:t xml:space="preserve">5.3. Debatir, de forma informada y argumentada, sobre las diferentes cuestiones medioambientales, sociales y éticas relacionadas con el desarrollo de las ciencias, alcanzando un consenso sobre las consecuencias de estos avances y proponiendo soluciones creativas en común a las cuestiones planteadas</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5">
            <w:pPr>
              <w:spacing w:after="160" w:before="240" w:lineRule="auto"/>
              <w:rPr>
                <w:rFonts w:ascii="Arial" w:cs="Arial" w:eastAsia="Arial" w:hAnsi="Arial"/>
              </w:rPr>
            </w:pPr>
            <w:r w:rsidDel="00000000" w:rsidR="00000000" w:rsidRPr="00000000">
              <w:rPr>
                <w:rFonts w:ascii="Arial" w:cs="Arial" w:eastAsia="Arial" w:hAnsi="Arial"/>
                <w:rtl w:val="0"/>
              </w:rPr>
              <w:t xml:space="preserve">6.1. Identificar y argumentar científicamente las repercusiones de las acciones que el alumno o la alumna acometen en su vida cotidiana, analizando cómo mejorarlas como forma de participar activamente en la construcción de una sociedad mejor.</w:t>
            </w:r>
          </w:p>
          <w:p w:rsidR="00000000" w:rsidDel="00000000" w:rsidP="00000000" w:rsidRDefault="00000000" w:rsidRPr="00000000" w14:paraId="00000026">
            <w:pPr>
              <w:spacing w:after="57" w:before="57" w:lineRule="auto"/>
              <w:jc w:val="both"/>
              <w:rPr/>
            </w:pPr>
            <w:r w:rsidDel="00000000" w:rsidR="00000000" w:rsidRPr="00000000">
              <w:rPr>
                <w:rFonts w:ascii="Arial" w:cs="Arial" w:eastAsia="Arial" w:hAnsi="Arial"/>
                <w:rtl w:val="0"/>
              </w:rPr>
              <w:t xml:space="preserve">6.2. Detectar las necesidades de la sociedad sobre las que aplicar los conocimientos científicos adecuados que ayuden a mejorarla, incidiendo especialmente en aspectos importantes como el desarrollo sostenible y la preservación de la salud. </w:t>
            </w:r>
            <w:r w:rsidDel="00000000" w:rsidR="00000000" w:rsidRPr="00000000">
              <w:rPr>
                <w:rtl w:val="0"/>
              </w:rPr>
            </w:r>
          </w:p>
        </w:tc>
      </w:tr>
    </w:tbl>
    <w:p w:rsidR="00000000" w:rsidDel="00000000" w:rsidP="00000000" w:rsidRDefault="00000000" w:rsidRPr="00000000" w14:paraId="00000027">
      <w:pPr>
        <w:rPr/>
      </w:pPr>
      <w:r w:rsidDel="00000000" w:rsidR="00000000" w:rsidRPr="00000000">
        <w:rPr>
          <w:rtl w:val="0"/>
        </w:rPr>
      </w:r>
    </w:p>
    <w:tbl>
      <w:tblPr>
        <w:tblStyle w:val="Table5"/>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Criterios de calificación</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9">
            <w:pPr>
              <w:spacing w:after="240" w:before="200" w:line="360" w:lineRule="auto"/>
              <w:rPr/>
            </w:pPr>
            <w:r w:rsidDel="00000000" w:rsidR="00000000" w:rsidRPr="00000000">
              <w:rPr>
                <w:rtl w:val="0"/>
              </w:rPr>
              <w:t xml:space="preserve">En cada evaluación:</w:t>
            </w:r>
          </w:p>
          <w:p w:rsidR="00000000" w:rsidDel="00000000" w:rsidP="00000000" w:rsidRDefault="00000000" w:rsidRPr="00000000" w14:paraId="0000002A">
            <w:pPr>
              <w:spacing w:after="240" w:before="200" w:line="360" w:lineRule="auto"/>
              <w:rPr/>
            </w:pPr>
            <w:r w:rsidDel="00000000" w:rsidR="00000000" w:rsidRPr="00000000">
              <w:rPr>
                <w:rtl w:val="0"/>
              </w:rPr>
              <w:t xml:space="preserve">- 90 % de la media aritmética de las pruebas escritas (exámenes).</w:t>
            </w:r>
          </w:p>
          <w:p w:rsidR="00000000" w:rsidDel="00000000" w:rsidP="00000000" w:rsidRDefault="00000000" w:rsidRPr="00000000" w14:paraId="0000002B">
            <w:pPr>
              <w:spacing w:after="240" w:before="200" w:line="360" w:lineRule="auto"/>
              <w:rPr/>
            </w:pPr>
            <w:r w:rsidDel="00000000" w:rsidR="00000000" w:rsidRPr="00000000">
              <w:rPr>
                <w:rtl w:val="0"/>
              </w:rPr>
              <w:t xml:space="preserve">- 10 % Participación en las actividades del aula, trabajo, interés y/o informes de prácticas y/o trabajos. </w:t>
            </w:r>
          </w:p>
          <w:p w:rsidR="00000000" w:rsidDel="00000000" w:rsidP="00000000" w:rsidRDefault="00000000" w:rsidRPr="00000000" w14:paraId="0000002C">
            <w:pPr>
              <w:spacing w:after="57" w:before="57" w:lineRule="auto"/>
              <w:jc w:val="both"/>
              <w:rPr/>
            </w:pP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D">
            <w:pPr>
              <w:spacing w:after="240" w:before="200" w:line="360" w:lineRule="auto"/>
              <w:rPr/>
            </w:pPr>
            <w:r w:rsidDel="00000000" w:rsidR="00000000" w:rsidRPr="00000000">
              <w:rPr>
                <w:rtl w:val="0"/>
              </w:rPr>
              <w:t xml:space="preserve">La nota final de curso correspondiente a las pruebas escritas (90%) será la media aritmética de la nota media de cada una de las partes, química y física por separado, que incluyen la primera evaluación y parte de la segunda para química y tercera y parte de la segunda para física, pudiendo aprobar la materia con un cuatro en una de las partes.</w:t>
            </w:r>
          </w:p>
          <w:p w:rsidR="00000000" w:rsidDel="00000000" w:rsidP="00000000" w:rsidRDefault="00000000" w:rsidRPr="00000000" w14:paraId="0000002E">
            <w:pPr>
              <w:spacing w:after="240" w:before="200" w:line="360" w:lineRule="auto"/>
              <w:rPr/>
            </w:pPr>
            <w:r w:rsidDel="00000000" w:rsidR="00000000" w:rsidRPr="00000000">
              <w:rPr>
                <w:rtl w:val="0"/>
              </w:rPr>
              <w:t xml:space="preserve">Todos los alumnos podrán realizar un examen global de química y otro de física. Para aquellos alumnos con los exámenes anteriores suspendidos, sirve como recuperación (sustituyendo esa nota a todas las anteriores). Para aquellos alumnos con la media de los exámenes anteriores igual o superior a 5, contabilizará la mejor de las dos siguientes notas, o bien la media de todos los exámenes parciales y global, o bien, la nota obtenida en el global. Tras la tercera evaluación, si el alumno no ha superado la materia tendrá que realizar una prueba extraordinaria  que contendrá todos los contenidos del curso, para los alumnos que no hayan aprobado ninguna de las partes o la parte que cada uno tenga pendiente (Química o Física). El alumno superará la materia cuando tenga una nota igual o superior a 5. </w:t>
            </w:r>
          </w:p>
          <w:p w:rsidR="00000000" w:rsidDel="00000000" w:rsidP="00000000" w:rsidRDefault="00000000" w:rsidRPr="00000000" w14:paraId="0000002F">
            <w:pPr>
              <w:spacing w:after="57" w:before="57" w:lineRule="auto"/>
              <w:jc w:val="both"/>
              <w:rPr/>
            </w:pPr>
            <w:r w:rsidDel="00000000" w:rsidR="00000000" w:rsidRPr="00000000">
              <w:rPr>
                <w:rtl w:val="0"/>
              </w:rPr>
            </w:r>
          </w:p>
        </w:tc>
      </w:tr>
    </w:tbl>
    <w:p w:rsidR="00000000" w:rsidDel="00000000" w:rsidP="00000000" w:rsidRDefault="00000000" w:rsidRPr="00000000" w14:paraId="00000030">
      <w:pPr>
        <w:rPr/>
      </w:pPr>
      <w:r w:rsidDel="00000000" w:rsidR="00000000" w:rsidRPr="00000000">
        <w:rPr>
          <w:rtl w:val="0"/>
        </w:rPr>
      </w:r>
    </w:p>
    <w:tbl>
      <w:tblPr>
        <w:tblStyle w:val="Table6"/>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Criterios de promoción y titulación</w:t>
            </w:r>
          </w:p>
        </w:tc>
      </w:tr>
      <w:tr>
        <w:trPr>
          <w:cantSplit w:val="0"/>
          <w:tblHeader w:val="0"/>
        </w:trPr>
        <w:tc>
          <w:tcPr>
            <w:tcBorders>
              <w:left w:color="213c70" w:space="0" w:sz="6" w:val="single"/>
              <w:bottom w:color="213c70" w:space="0" w:sz="6" w:val="single"/>
              <w:right w:color="213c70" w:space="0" w:sz="6" w:val="single"/>
            </w:tcBorders>
            <w:shd w:fill="auto" w:val="clear"/>
          </w:tcPr>
          <w:p w:rsidR="00000000" w:rsidDel="00000000" w:rsidP="00000000" w:rsidRDefault="00000000" w:rsidRPr="00000000" w14:paraId="00000032">
            <w:pPr>
              <w:rPr/>
            </w:pPr>
            <w:r w:rsidDel="00000000" w:rsidR="00000000" w:rsidRPr="00000000">
              <w:rPr>
                <w:rtl w:val="0"/>
              </w:rPr>
              <w:t xml:space="preserve">Con respecto a la </w:t>
            </w:r>
            <w:r w:rsidDel="00000000" w:rsidR="00000000" w:rsidRPr="00000000">
              <w:rPr>
                <w:b w:val="1"/>
                <w:rtl w:val="0"/>
              </w:rPr>
              <w:t xml:space="preserve">promoción</w:t>
            </w:r>
            <w:r w:rsidDel="00000000" w:rsidR="00000000" w:rsidRPr="00000000">
              <w:rPr>
                <w:rtl w:val="0"/>
              </w:rPr>
              <w:t xml:space="preserve"> se seguirá la normativa definida en el artículo 25 (Artículo 25. Promoción y permanencia en la etapa) de la Orden ECD/1173/2022, de 3 de agosto, por la que se aprueban el currículo y las características de la evaluación del Bachillerato y se autoriza su aplicación en los centros docentes de la Comunidad Autónoma de Aragón.</w:t>
            </w:r>
          </w:p>
          <w:p w:rsidR="00000000" w:rsidDel="00000000" w:rsidP="00000000" w:rsidRDefault="00000000" w:rsidRPr="00000000" w14:paraId="00000033">
            <w:pPr>
              <w:rPr/>
            </w:pPr>
            <w:r w:rsidDel="00000000" w:rsidR="00000000" w:rsidRPr="00000000">
              <w:rPr>
                <w:rtl w:val="0"/>
              </w:rPr>
              <w:t xml:space="preserve">Con respecto a la </w:t>
            </w:r>
            <w:r w:rsidDel="00000000" w:rsidR="00000000" w:rsidRPr="00000000">
              <w:rPr>
                <w:b w:val="1"/>
                <w:rtl w:val="0"/>
              </w:rPr>
              <w:t xml:space="preserve">titulación</w:t>
            </w:r>
            <w:r w:rsidDel="00000000" w:rsidR="00000000" w:rsidRPr="00000000">
              <w:rPr>
                <w:rtl w:val="0"/>
              </w:rPr>
              <w:t xml:space="preserve"> se seguirá la normativa definida en el artículo 26 (Artículo26. Título de Bachiller) de la Orden indicada en el párrafo anterior.</w:t>
            </w: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r>
    </w:p>
    <w:tbl>
      <w:tblPr>
        <w:tblStyle w:val="Table7"/>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Medidas de intervención educativa que se precisen</w:t>
            </w:r>
          </w:p>
        </w:tc>
      </w:tr>
      <w:tr>
        <w:trPr>
          <w:cantSplit w:val="0"/>
          <w:tblHeader w:val="0"/>
        </w:trPr>
        <w:tc>
          <w:tcPr>
            <w:tcBorders>
              <w:left w:color="213c70" w:space="0" w:sz="6" w:val="single"/>
              <w:bottom w:color="213c70" w:space="0" w:sz="6" w:val="single"/>
              <w:right w:color="213c70" w:space="0" w:sz="6" w:val="single"/>
            </w:tcBorders>
            <w:shd w:fill="auto" w:val="clear"/>
          </w:tcPr>
          <w:p w:rsidR="00000000" w:rsidDel="00000000" w:rsidP="00000000" w:rsidRDefault="00000000" w:rsidRPr="00000000" w14:paraId="00000036">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b w:val="0"/>
                <w:i w:val="0"/>
                <w:strike w:val="0"/>
                <w:color w:val="000000"/>
                <w:sz w:val="24"/>
                <w:szCs w:val="24"/>
                <w:u w:val="none"/>
                <w:rtl w:val="0"/>
              </w:rPr>
              <w:t xml:space="preserve">En función de las necesidades que surjan a lo largo del proceso, se implementarán las medidas adecuadas.</w:t>
            </w:r>
            <w:r w:rsidDel="00000000" w:rsidR="00000000" w:rsidRPr="00000000">
              <w:rPr>
                <w:rtl w:val="0"/>
              </w:rPr>
            </w:r>
          </w:p>
        </w:tc>
      </w:tr>
    </w:tbl>
    <w:p w:rsidR="00000000" w:rsidDel="00000000" w:rsidP="00000000" w:rsidRDefault="00000000" w:rsidRPr="00000000" w14:paraId="00000037">
      <w:pPr>
        <w:spacing w:after="57" w:before="57" w:lineRule="auto"/>
        <w:rPr/>
      </w:pPr>
      <w:r w:rsidDel="00000000" w:rsidR="00000000" w:rsidRPr="00000000">
        <w:rPr>
          <w:rtl w:val="0"/>
        </w:rPr>
      </w:r>
    </w:p>
    <w:sectPr>
      <w:footerReference r:id="rId7" w:type="default"/>
      <w:pgSz w:h="16838" w:w="11906" w:orient="portrait"/>
      <w:pgMar w:bottom="1748" w:top="1134" w:left="1134" w:right="1134" w:header="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iberation Sans"/>
  <w:font w:name="Linux Biolinum G"/>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57" w:before="57" w:line="240" w:lineRule="auto"/>
      <w:ind w:left="0" w:right="0" w:firstLine="0"/>
      <w:jc w:val="right"/>
      <w:rPr>
        <w:rFonts w:ascii="Linux Biolinum G" w:cs="Linux Biolinum G" w:eastAsia="Linux Biolinum G" w:hAnsi="Linux Biolinum G"/>
        <w:b w:val="0"/>
        <w:i w:val="0"/>
        <w:smallCaps w:val="0"/>
        <w:strike w:val="0"/>
        <w:color w:val="000000"/>
        <w:sz w:val="24"/>
        <w:szCs w:val="24"/>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Linux Biolinum G" w:cs="Linux Biolinum G" w:eastAsia="Linux Biolinum G" w:hAnsi="Linux Biolinum G"/>
        <w:b w:val="0"/>
        <w:i w:val="0"/>
        <w:smallCaps w:val="0"/>
        <w:strike w:val="0"/>
        <w:color w:val="000000"/>
        <w:sz w:val="24"/>
        <w:szCs w:val="24"/>
        <w:u w:val="none"/>
        <w:shd w:fill="auto" w:val="clear"/>
        <w:vertAlign w:val="baseline"/>
        <w:rtl w:val="0"/>
      </w:rPr>
      <w:t xml:space="preserve"> de </w:t>
    </w:r>
    <w:r w:rsidDel="00000000" w:rsidR="00000000" w:rsidRPr="00000000">
      <w:rPr>
        <w:rFonts w:ascii="Linux Biolinum G" w:cs="Linux Biolinum G" w:eastAsia="Linux Biolinum G" w:hAnsi="Linux Biolinum G"/>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nux Biolinum G" w:cs="Linux Biolinum G" w:eastAsia="Linux Biolinum G" w:hAnsi="Linux Biolinum G"/>
        <w:sz w:val="24"/>
        <w:szCs w:val="24"/>
        <w:lang w:val="es-ES"/>
      </w:rPr>
    </w:rPrDefault>
    <w:pPrDefault>
      <w:pPr>
        <w:spacing w:after="57" w:before="57"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ind w:left="0" w:firstLine="0"/>
    </w:pPr>
    <w:rPr>
      <w:rFonts w:ascii="Liberation Sans" w:cs="Liberation Sans" w:eastAsia="Liberation Sans" w:hAnsi="Liberation Sans"/>
      <w:b w:val="1"/>
      <w:sz w:val="36"/>
      <w:szCs w:val="36"/>
    </w:rPr>
  </w:style>
  <w:style w:type="paragraph" w:styleId="Heading2">
    <w:name w:val="heading 2"/>
    <w:basedOn w:val="Normal"/>
    <w:next w:val="Normal"/>
    <w:pPr>
      <w:keepNext w:val="1"/>
      <w:spacing w:after="120" w:before="200" w:lineRule="auto"/>
      <w:ind w:left="0" w:firstLine="0"/>
    </w:pPr>
    <w:rPr>
      <w:rFonts w:ascii="Liberation Sans" w:cs="Liberation Sans" w:eastAsia="Liberation Sans" w:hAnsi="Liberation Sans"/>
      <w:b w:val="1"/>
      <w:color w:val="213c70"/>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color w:val="3465a4"/>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 w:type="table" w:styleId="Table2">
    <w:basedOn w:val="TableNormal"/>
    <w:tblPr>
      <w:tblStyleRowBandSize w:val="1"/>
      <w:tblStyleColBandSize w:val="1"/>
      <w:tblCellMar>
        <w:top w:w="57.0" w:type="dxa"/>
        <w:left w:w="105.0" w:type="dxa"/>
        <w:bottom w:w="57.0" w:type="dxa"/>
        <w:right w:w="113.0" w:type="dxa"/>
      </w:tblCellMar>
    </w:tblPr>
  </w:style>
  <w:style w:type="table" w:styleId="Table3">
    <w:basedOn w:val="TableNormal"/>
    <w:tblPr>
      <w:tblStyleRowBandSize w:val="1"/>
      <w:tblStyleColBandSize w:val="1"/>
      <w:tblCellMar>
        <w:top w:w="57.0" w:type="dxa"/>
        <w:left w:w="105.0" w:type="dxa"/>
        <w:bottom w:w="57.0" w:type="dxa"/>
        <w:right w:w="113.0" w:type="dxa"/>
      </w:tblCellMar>
    </w:tblPr>
  </w:style>
  <w:style w:type="table" w:styleId="Table4">
    <w:basedOn w:val="TableNormal"/>
    <w:tblPr>
      <w:tblStyleRowBandSize w:val="1"/>
      <w:tblStyleColBandSize w:val="1"/>
      <w:tblCellMar>
        <w:top w:w="57.0" w:type="dxa"/>
        <w:left w:w="105.0" w:type="dxa"/>
        <w:bottom w:w="57.0" w:type="dxa"/>
        <w:right w:w="113.0" w:type="dxa"/>
      </w:tblCellMar>
    </w:tblPr>
  </w:style>
  <w:style w:type="table" w:styleId="Table5">
    <w:basedOn w:val="TableNormal"/>
    <w:tblPr>
      <w:tblStyleRowBandSize w:val="1"/>
      <w:tblStyleColBandSize w:val="1"/>
      <w:tblCellMar>
        <w:top w:w="57.0" w:type="dxa"/>
        <w:left w:w="105.0" w:type="dxa"/>
        <w:bottom w:w="57.0" w:type="dxa"/>
        <w:right w:w="113.0" w:type="dxa"/>
      </w:tblCellMar>
    </w:tblPr>
  </w:style>
  <w:style w:type="table" w:styleId="Table6">
    <w:basedOn w:val="TableNormal"/>
    <w:tblPr>
      <w:tblStyleRowBandSize w:val="1"/>
      <w:tblStyleColBandSize w:val="1"/>
      <w:tblCellMar>
        <w:top w:w="57.0" w:type="dxa"/>
        <w:left w:w="105.0" w:type="dxa"/>
        <w:bottom w:w="57.0" w:type="dxa"/>
        <w:right w:w="113.0" w:type="dxa"/>
      </w:tblCellMar>
    </w:tblPr>
  </w:style>
  <w:style w:type="table" w:styleId="Table7">
    <w:basedOn w:val="TableNormal"/>
    <w:tblPr>
      <w:tblStyleRowBandSize w:val="1"/>
      <w:tblStyleColBandSize w:val="1"/>
      <w:tblCellMar>
        <w:top w:w="57.0" w:type="dxa"/>
        <w:left w:w="105.0" w:type="dxa"/>
        <w:bottom w:w="57.0" w:type="dxa"/>
        <w:right w:w="11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